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年學校環境教育實作競賽簡章</w:t>
      </w:r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bookmarkEnd w:id="0"/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以送達日為憑</w:t>
      </w:r>
      <w:r w:rsidR="0041648F">
        <w:rPr>
          <w:rFonts w:ascii="Times New Roman" w:eastAsia="標楷體" w:hAnsi="Times New Roman" w:hint="eastAsia"/>
          <w:sz w:val="28"/>
          <w:szCs w:val="28"/>
        </w:rPr>
        <w:t>，爰請注意時效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，資料未齊者亦不予受理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份，每篇電子檔容量至多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1" w:name="OLE_LINK18"/>
      <w:bookmarkStart w:id="2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1"/>
          <w:bookmarkEnd w:id="2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3" w:name="OLE_LINK10"/>
      <w:r w:rsidRPr="00810A69">
        <w:rPr>
          <w:rFonts w:ascii="Times New Roman" w:eastAsia="標楷體" w:hAnsi="Times New Roman" w:hint="eastAsia"/>
          <w:sz w:val="28"/>
          <w:szCs w:val="28"/>
        </w:rPr>
        <w:t>篩選序位前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3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競賽得獎作品，若經證實違反上述規定或因涉訟而敗訴者，主辦單位有權追討已頒發之所有獎項。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4" w:name="OLE_LINK25"/>
      <w:bookmarkStart w:id="5" w:name="OLE_LINK26"/>
      <w:bookmarkStart w:id="6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4"/>
      <w:bookmarkEnd w:id="5"/>
      <w:bookmarkEnd w:id="6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7" w:name="OLE_LINK28"/>
      <w:bookmarkStart w:id="8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7"/>
      <w:bookmarkEnd w:id="8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依行政院「跨主管機關及區域性競賽活動核發獎金或等值獎勵支給表」規定進行獎金核發，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稿件須在報名表中切結無剽竊及違反學術倫理事項。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參考文獻採</w:t>
      </w:r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規格直式橫書，並限以中文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行距採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9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9"/>
      <w:r w:rsidRPr="004B20A5">
        <w:rPr>
          <w:rFonts w:ascii="Times New Roman" w:eastAsia="標楷體" w:hAnsi="Times New Roman" w:hint="eastAsia"/>
          <w:sz w:val="28"/>
          <w:szCs w:val="28"/>
        </w:rPr>
        <w:t>，並須加頁碼於頁底置中</w:t>
      </w:r>
      <w:r w:rsidR="00D46424" w:rsidRPr="004B20A5">
        <w:rPr>
          <w:rFonts w:ascii="Times New Roman" w:eastAsia="標楷體" w:hAnsi="Times New Roman" w:hint="eastAsia"/>
          <w:sz w:val="28"/>
          <w:szCs w:val="28"/>
        </w:rPr>
        <w:t>，採</w:t>
      </w:r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本人已熟知投稿須知及簡章所列規範，倘違反規範而獲獎者，其獎狀及獎金收回，並事情節接受議處。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電子檔光碟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，將資料逕寄或送至中原大學環境工程學系戴欣姿小姐收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Periodical,xx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>. Advance online publication.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(Ed.s).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>(xx), xx-xx. doi: 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material]. Journal Title, xx(xx), xx-xx. doi: xx.xxxxxxxxxx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>. (Accession No. xxxxxxxxxx)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>(pp. xx-xx).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(pp.xx-xx).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8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9B" w:rsidRDefault="00050C9B" w:rsidP="000B768F">
      <w:r>
        <w:separator/>
      </w:r>
    </w:p>
  </w:endnote>
  <w:endnote w:type="continuationSeparator" w:id="0">
    <w:p w:rsidR="00050C9B" w:rsidRDefault="00050C9B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A2" w:rsidRPr="006A48A2">
          <w:rPr>
            <w:noProof/>
            <w:lang w:val="zh-TW"/>
          </w:rPr>
          <w:t>1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9B" w:rsidRDefault="00050C9B" w:rsidP="000B768F">
      <w:r>
        <w:separator/>
      </w:r>
    </w:p>
  </w:footnote>
  <w:footnote w:type="continuationSeparator" w:id="0">
    <w:p w:rsidR="00050C9B" w:rsidRDefault="00050C9B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 w15:restartNumberingAfterBreak="0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50C9B"/>
    <w:rsid w:val="00064539"/>
    <w:rsid w:val="000700D0"/>
    <w:rsid w:val="00074B71"/>
    <w:rsid w:val="000B768F"/>
    <w:rsid w:val="000C7421"/>
    <w:rsid w:val="000E0FE1"/>
    <w:rsid w:val="000F0AC0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A48A2"/>
    <w:rsid w:val="006A7019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F4045"/>
    <w:rsid w:val="007F54B6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53CB"/>
    <w:rsid w:val="00AF0989"/>
    <w:rsid w:val="00B05328"/>
    <w:rsid w:val="00B16E33"/>
    <w:rsid w:val="00B213E8"/>
    <w:rsid w:val="00B31649"/>
    <w:rsid w:val="00B34CC5"/>
    <w:rsid w:val="00B44268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D631F"/>
    <w:rsid w:val="00CE1CB0"/>
    <w:rsid w:val="00CE4A8C"/>
    <w:rsid w:val="00CE725F"/>
    <w:rsid w:val="00D0141F"/>
    <w:rsid w:val="00D378BD"/>
    <w:rsid w:val="00D46424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84F81"/>
    <w:rsid w:val="00FA2123"/>
    <w:rsid w:val="00FA4B05"/>
    <w:rsid w:val="00FA51B3"/>
    <w:rsid w:val="00FC4AED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3652FEB-E28A-4F50-806B-47B7733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EFC0-FBB9-4B4B-98BC-E3628AF0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 </cp:lastModifiedBy>
  <cp:revision>2</cp:revision>
  <cp:lastPrinted>2018-03-30T02:30:00Z</cp:lastPrinted>
  <dcterms:created xsi:type="dcterms:W3CDTF">2019-01-15T05:16:00Z</dcterms:created>
  <dcterms:modified xsi:type="dcterms:W3CDTF">2019-01-15T05:16:00Z</dcterms:modified>
</cp:coreProperties>
</file>