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58" w:rsidRPr="00A65B20" w:rsidRDefault="00CA2D07" w:rsidP="0090178D">
      <w:pPr>
        <w:widowControl/>
        <w:snapToGrid w:val="0"/>
        <w:spacing w:after="180" w:line="240" w:lineRule="atLeast"/>
        <w:jc w:val="center"/>
        <w:textAlignment w:val="top"/>
        <w:rPr>
          <w:rFonts w:ascii="新細明體" w:hAnsi="新細明體" w:cs="新細明體"/>
          <w:color w:val="000000" w:themeColor="text1"/>
          <w:kern w:val="0"/>
        </w:rPr>
      </w:pPr>
      <w:bookmarkStart w:id="0" w:name="_GoBack"/>
      <w:bookmarkEnd w:id="0"/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44"/>
          <w:szCs w:val="40"/>
        </w:rPr>
        <w:t>2016</w:t>
      </w:r>
      <w:r w:rsidR="009A296E" w:rsidRPr="00A65B20">
        <w:rPr>
          <w:rFonts w:ascii="新細明體" w:eastAsia="標楷體" w:hAnsi="新細明體" w:cs="新細明體" w:hint="eastAsia"/>
          <w:color w:val="000000" w:themeColor="text1"/>
          <w:kern w:val="0"/>
          <w:sz w:val="44"/>
          <w:szCs w:val="40"/>
        </w:rPr>
        <w:t>台</w:t>
      </w:r>
      <w:r w:rsidR="00C97E58" w:rsidRPr="00A65B20">
        <w:rPr>
          <w:rFonts w:eastAsia="標楷體" w:hAnsi="標楷體" w:cs="新細明體" w:hint="eastAsia"/>
          <w:color w:val="000000" w:themeColor="text1"/>
          <w:kern w:val="0"/>
          <w:sz w:val="44"/>
          <w:szCs w:val="40"/>
        </w:rPr>
        <w:t>灣燈會－全國花燈競賽實施計畫</w:t>
      </w:r>
    </w:p>
    <w:p w:rsidR="00C97E58" w:rsidRPr="00994F04" w:rsidRDefault="00994F04" w:rsidP="00994F04">
      <w:pPr>
        <w:widowControl/>
        <w:wordWrap w:val="0"/>
        <w:snapToGrid w:val="0"/>
        <w:spacing w:before="180" w:after="180" w:line="240" w:lineRule="atLeast"/>
        <w:ind w:firstLineChars="96" w:firstLine="192"/>
        <w:jc w:val="right"/>
        <w:textAlignment w:val="top"/>
        <w:rPr>
          <w:rFonts w:ascii="標楷體" w:eastAsia="標楷體" w:hAnsi="標楷體" w:cs="新細明體"/>
          <w:color w:val="000000" w:themeColor="text1"/>
          <w:kern w:val="0"/>
          <w:sz w:val="20"/>
          <w:szCs w:val="20"/>
        </w:rPr>
      </w:pPr>
      <w:r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桃園市政府104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年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月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5</w:t>
      </w:r>
      <w:r w:rsidR="00162E47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 xml:space="preserve"> </w:t>
      </w:r>
      <w:proofErr w:type="gramStart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日</w:t>
      </w:r>
      <w:r w:rsidR="00CA2D07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府教終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字第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1040201538</w:t>
      </w:r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號函頒</w:t>
      </w:r>
      <w:proofErr w:type="gramEnd"/>
      <w:r w:rsidR="00C97E58" w:rsidRPr="00994F04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訂</w:t>
      </w:r>
    </w:p>
    <w:p w:rsidR="00C97E58" w:rsidRPr="00A65B20" w:rsidRDefault="00C97E58" w:rsidP="00DC6BC2">
      <w:pPr>
        <w:widowControl/>
        <w:snapToGrid w:val="0"/>
        <w:spacing w:beforeLines="100" w:before="360" w:after="180" w:line="240" w:lineRule="atLeast"/>
        <w:textAlignment w:val="top"/>
        <w:rPr>
          <w:rFonts w:ascii="標楷體" w:eastAsia="標楷體" w:hAnsi="標楷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一、依據：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「2016台灣燈會」</w:t>
      </w:r>
      <w:r w:rsidR="00227865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交通部</w:t>
      </w:r>
      <w:r w:rsidR="00994F04">
        <w:rPr>
          <w:rFonts w:ascii="標楷體" w:eastAsia="標楷體" w:hAnsi="標楷體" w:cs="新細明體" w:hint="eastAsia"/>
          <w:color w:val="000000" w:themeColor="text1"/>
          <w:kern w:val="0"/>
          <w:sz w:val="28"/>
        </w:rPr>
        <w:t>觀光局與主辦縣市政府業務分工辦理</w:t>
      </w:r>
      <w:r w:rsidRPr="00A65B20">
        <w:rPr>
          <w:rFonts w:ascii="標楷體" w:eastAsia="標楷體" w:hAnsi="標楷體" w:hint="eastAsia"/>
          <w:color w:val="000000" w:themeColor="text1"/>
          <w:kern w:val="0"/>
          <w:sz w:val="28"/>
        </w:rPr>
        <w:t>。</w:t>
      </w:r>
    </w:p>
    <w:p w:rsidR="00C97E58" w:rsidRPr="00A65B20" w:rsidRDefault="00C97E58" w:rsidP="00DC6BC2">
      <w:pPr>
        <w:widowControl/>
        <w:snapToGrid w:val="0"/>
        <w:spacing w:beforeLines="50" w:before="180" w:line="240" w:lineRule="atLeast"/>
        <w:ind w:left="1960" w:hangingChars="700" w:hanging="1960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二、宗旨：</w:t>
      </w:r>
    </w:p>
    <w:p w:rsidR="00C97E58" w:rsidRPr="00A65B20" w:rsidRDefault="00C97E58" w:rsidP="00C97E58">
      <w:pPr>
        <w:widowControl/>
        <w:snapToGrid w:val="0"/>
        <w:spacing w:line="240" w:lineRule="atLeast"/>
        <w:ind w:left="1260" w:hangingChars="450" w:hanging="12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 xml:space="preserve">   （一）配合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201</w:t>
      </w:r>
      <w:r w:rsidR="00B413E1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6</w:t>
      </w:r>
      <w:r w:rsidR="001A4D52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台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0"/>
        </w:rPr>
        <w:t>灣燈會，辦理全國花燈競賽，推展民俗技藝，發揚固有文化，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並促進觀光事業</w:t>
      </w:r>
      <w:r w:rsidR="00711AB4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+</w:t>
      </w: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0"/>
        </w:rPr>
        <w:t>之發展。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（二）激發師生與社會人士創造思考，培養良好互動合作的精神。</w:t>
      </w:r>
    </w:p>
    <w:p w:rsidR="00D669C3" w:rsidRPr="00A65B20" w:rsidRDefault="00C97E58" w:rsidP="00DC6BC2">
      <w:pPr>
        <w:widowControl/>
        <w:tabs>
          <w:tab w:val="left" w:pos="1985"/>
        </w:tabs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三、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指導單位：交通部觀光局、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="00D669C3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</w:t>
      </w:r>
    </w:p>
    <w:p w:rsidR="00C97E58" w:rsidRPr="00A65B20" w:rsidRDefault="00D669C3" w:rsidP="00DC6BC2">
      <w:pPr>
        <w:widowControl/>
        <w:snapToGrid w:val="0"/>
        <w:spacing w:beforeLines="50" w:before="180" w:after="180" w:line="300" w:lineRule="exac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四、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主辦單位：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桃園市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政府教育局</w:t>
      </w:r>
    </w:p>
    <w:p w:rsidR="00F367C4" w:rsidRPr="00A65B20" w:rsidRDefault="00390040" w:rsidP="00DC6BC2">
      <w:pPr>
        <w:widowControl/>
        <w:snapToGrid w:val="0"/>
        <w:spacing w:beforeLines="50" w:before="180"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五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、承辦單位：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南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崁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proofErr w:type="gramStart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瑞塘國小</w:t>
      </w:r>
      <w:proofErr w:type="gramEnd"/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、雙龍國小、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文化</w:t>
      </w:r>
      <w:r w:rsidR="00F367C4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國小、楓樹國小、山頂國小</w:t>
      </w:r>
    </w:p>
    <w:p w:rsidR="00F367C4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六、協辦單位：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青溪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國小、</w:t>
      </w:r>
      <w:r w:rsidR="00080D26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新</w:t>
      </w:r>
      <w:r w:rsidR="00B413E1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莊</w:t>
      </w:r>
      <w:r w:rsidR="000D2615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國小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、上湖國小、南門國小、田心國小、</w:t>
      </w:r>
      <w:r w:rsidR="002933D5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光明</w:t>
      </w: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國中</w:t>
      </w:r>
    </w:p>
    <w:p w:rsidR="00F367C4" w:rsidRPr="00A65B20" w:rsidRDefault="00F367C4" w:rsidP="00CC42F0">
      <w:pPr>
        <w:widowControl/>
        <w:tabs>
          <w:tab w:val="left" w:pos="1843"/>
          <w:tab w:val="left" w:pos="1985"/>
        </w:tabs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建德國小、觀音國中、楊明國小、陳康國小、大坡國小、永安國小</w:t>
      </w:r>
    </w:p>
    <w:p w:rsidR="00043C26" w:rsidRPr="00A65B20" w:rsidRDefault="00F367C4" w:rsidP="00F367C4">
      <w:pPr>
        <w:widowControl/>
        <w:snapToGrid w:val="0"/>
        <w:spacing w:line="300" w:lineRule="exact"/>
        <w:ind w:left="1798" w:hangingChars="642" w:hanging="1798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 xml:space="preserve">               埔頂國小</w:t>
      </w:r>
    </w:p>
    <w:p w:rsidR="00C97E58" w:rsidRPr="00A65B20" w:rsidRDefault="00F367C4" w:rsidP="00DC6BC2">
      <w:pPr>
        <w:widowControl/>
        <w:snapToGrid w:val="0"/>
        <w:spacing w:beforeLines="50" w:before="180" w:line="28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七</w:t>
      </w:r>
      <w:r w:rsidR="00C97E58" w:rsidRPr="00A65B20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0"/>
        </w:rPr>
        <w:t>、競賽組別：</w:t>
      </w:r>
    </w:p>
    <w:tbl>
      <w:tblPr>
        <w:tblW w:w="9705" w:type="dxa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7000"/>
      </w:tblGrid>
      <w:tr w:rsidR="00C97E58" w:rsidRPr="00A65B20" w:rsidTr="00EA0E1F">
        <w:trPr>
          <w:trHeight w:val="58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競賽組別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snapToGrid w:val="0"/>
              <w:spacing w:before="180" w:after="180"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報名資格</w:t>
            </w:r>
          </w:p>
        </w:tc>
      </w:tr>
      <w:tr w:rsidR="00C97E58" w:rsidRPr="00A65B20" w:rsidTr="00EA0E1F">
        <w:trPr>
          <w:cantSplit/>
          <w:trHeight w:val="9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親子組</w:t>
            </w:r>
          </w:p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（國小、</w:t>
            </w:r>
            <w:r w:rsidR="00FC44D8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w w:val="80"/>
                <w:kern w:val="0"/>
                <w:sz w:val="28"/>
                <w:szCs w:val="26"/>
              </w:rPr>
              <w:t>園）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Arial"/>
                <w:color w:val="000000" w:themeColor="text1"/>
                <w:kern w:val="0"/>
                <w:sz w:val="20"/>
                <w:szCs w:val="20"/>
              </w:rPr>
            </w:pP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全國公私立國小或</w:t>
            </w:r>
            <w:r w:rsidR="00FC44D8"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幼兒</w:t>
            </w:r>
            <w:r w:rsidRPr="00A65B20">
              <w:rPr>
                <w:rFonts w:ascii="標楷體" w:eastAsia="標楷體" w:hAnsi="標楷體" w:cs="Arial" w:hint="eastAsia"/>
                <w:color w:val="000000" w:themeColor="text1"/>
                <w:kern w:val="0"/>
                <w:sz w:val="28"/>
                <w:szCs w:val="26"/>
              </w:rPr>
              <w:t>園親子、師生共同製作。</w:t>
            </w:r>
          </w:p>
        </w:tc>
      </w:tr>
      <w:tr w:rsidR="00C97E58" w:rsidRPr="00A65B20" w:rsidTr="00EA0E1F">
        <w:trPr>
          <w:cantSplit/>
          <w:trHeight w:val="703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國中組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全國公私立國中、高中附設國中部、國中附設補校師生共同製作。</w:t>
            </w:r>
          </w:p>
        </w:tc>
      </w:tr>
      <w:tr w:rsidR="00C97E58" w:rsidRPr="00A65B20" w:rsidTr="00EA0E1F">
        <w:trPr>
          <w:cantSplit/>
          <w:trHeight w:val="86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proofErr w:type="gramStart"/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高中職組</w:t>
            </w:r>
            <w:proofErr w:type="gramEnd"/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ind w:firstLine="2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全國公私立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高中職日夜間部及進修學校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、五專前三年師生共同製作。</w:t>
            </w:r>
          </w:p>
        </w:tc>
      </w:tr>
      <w:tr w:rsidR="00C97E58" w:rsidRPr="00A65B20" w:rsidTr="00EA0E1F">
        <w:trPr>
          <w:cantSplit/>
          <w:trHeight w:val="89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、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社會組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全國各大專院校及對製作花燈有興趣之民眾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共同製作（含各級學校教師）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EA0E1F">
        <w:trPr>
          <w:cantSplit/>
          <w:trHeight w:val="70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機關團體組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C97E58">
            <w:pPr>
              <w:widowControl/>
              <w:adjustRightInd w:val="0"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全國各機關團體對製作花燈有興趣之民眾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6"/>
              </w:rPr>
              <w:t>共同製作</w:t>
            </w: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。</w:t>
            </w:r>
          </w:p>
        </w:tc>
      </w:tr>
      <w:tr w:rsidR="00C97E58" w:rsidRPr="00A65B20" w:rsidTr="00C97E58">
        <w:trPr>
          <w:cantSplit/>
          <w:trHeight w:val="2506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E58" w:rsidRPr="00A65B20" w:rsidRDefault="00C97E58" w:rsidP="009940E1">
            <w:pPr>
              <w:widowControl/>
              <w:snapToGrid w:val="0"/>
              <w:spacing w:line="240" w:lineRule="atLeast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【備註】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1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、親子組、國中組、高中</w:t>
            </w:r>
            <w:proofErr w:type="gramStart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職組得採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親師生、師生或親子等組隊方式共同參與製作，每件作品作者最多以</w:t>
            </w:r>
            <w:r w:rsidR="0091297F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人為限，惟學生人數不得少於</w:t>
            </w:r>
            <w:r w:rsidR="00390040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二分之一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。</w:t>
            </w:r>
          </w:p>
          <w:p w:rsidR="00C97E58" w:rsidRPr="00A65B20" w:rsidRDefault="00C97E58" w:rsidP="009940E1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、親子組、國中組、</w:t>
            </w:r>
            <w:proofErr w:type="gramStart"/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高中職組</w:t>
            </w:r>
            <w:proofErr w:type="gramEnd"/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（該組作者為高中職以下親師生、師生或親子）每件作品之指導教師以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2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名為限。</w:t>
            </w:r>
          </w:p>
          <w:p w:rsidR="00EA0E1F" w:rsidRPr="00A65B20" w:rsidRDefault="00C97E58" w:rsidP="00205E02">
            <w:pPr>
              <w:widowControl/>
              <w:snapToGrid w:val="0"/>
              <w:spacing w:line="240" w:lineRule="atLeast"/>
              <w:ind w:left="384" w:hangingChars="137" w:hanging="384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</w:pP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3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、</w:t>
            </w:r>
            <w:r w:rsidR="00F367C4" w:rsidRPr="00A65B20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6"/>
              </w:rPr>
              <w:t>大專、社會組</w:t>
            </w:r>
            <w:r w:rsidR="00F367C4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及</w:t>
            </w:r>
            <w:r w:rsidR="00EA0E1F"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機關團體組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每件作品作者最多以</w:t>
            </w:r>
            <w:r w:rsidRPr="00A65B20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0"/>
              </w:rPr>
              <w:t>5</w:t>
            </w:r>
            <w:r w:rsidRPr="00A65B2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0"/>
              </w:rPr>
              <w:t>人為限。</w:t>
            </w:r>
          </w:p>
        </w:tc>
      </w:tr>
    </w:tbl>
    <w:p w:rsidR="002E3268" w:rsidRPr="00A65B20" w:rsidRDefault="002E326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</w:p>
    <w:p w:rsidR="002E326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八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、競賽主題：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各組以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年生肖或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</w:t>
      </w:r>
      <w:r w:rsidR="004800B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燈會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相關主題-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科技夢想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多元文化</w:t>
      </w:r>
      <w:r w:rsidR="00F74F5A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永</w:t>
      </w:r>
    </w:p>
    <w:p w:rsidR="00C97E58" w:rsidRPr="00A65B20" w:rsidRDefault="002E3268" w:rsidP="002E3268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續環保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，自由創作。</w:t>
      </w:r>
    </w:p>
    <w:p w:rsidR="00C97E58" w:rsidRPr="00A65B20" w:rsidRDefault="002E326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九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、作品規格與注意事項：</w:t>
      </w:r>
    </w:p>
    <w:p w:rsidR="002F0BEB" w:rsidRPr="00A65B20" w:rsidRDefault="00C97E58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（一）各組參賽花燈整體規格：</w:t>
      </w:r>
    </w:p>
    <w:p w:rsidR="007335E8" w:rsidRPr="00A65B20" w:rsidRDefault="002F0BEB" w:rsidP="002F0BEB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0238A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各組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長、寬、高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(至少一項)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不得小於「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2"/>
          <w:attr w:name="UnitName" w:val="公尺"/>
        </w:smartTagPr>
        <w:r w:rsidR="00C97E58"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8"/>
          </w:rPr>
          <w:t>1.2</w:t>
        </w:r>
        <w:r w:rsidR="00C97E58"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8"/>
          </w:rPr>
          <w:t>公尺</w:t>
        </w:r>
      </w:smartTag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」，長、寬均不得超過「</w:t>
      </w:r>
      <w:r w:rsidR="00C97E5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2.5</w:t>
      </w:r>
    </w:p>
    <w:p w:rsidR="00C97E58" w:rsidRPr="00A65B20" w:rsidRDefault="007335E8" w:rsidP="00043C26">
      <w:pPr>
        <w:widowControl/>
        <w:snapToGrid w:val="0"/>
        <w:spacing w:line="240" w:lineRule="atLeast"/>
        <w:ind w:left="345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公尺」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，高度不超過3公尺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。</w:t>
      </w:r>
    </w:p>
    <w:p w:rsidR="000238A5" w:rsidRPr="00A65B20" w:rsidRDefault="00C97E58" w:rsidP="000238A5">
      <w:pPr>
        <w:widowControl/>
        <w:snapToGrid w:val="0"/>
        <w:spacing w:before="180" w:after="180" w:line="240" w:lineRule="atLeast"/>
        <w:ind w:left="1078" w:hangingChars="385" w:hanging="1078"/>
        <w:textAlignment w:val="top"/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</w:pPr>
      <w:r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 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（二）花燈製作時，以較完整的個體設計，</w:t>
      </w:r>
      <w:proofErr w:type="gramStart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俾便</w:t>
      </w:r>
      <w:r w:rsidR="0071625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>布</w:t>
      </w:r>
      <w:proofErr w:type="gramEnd"/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置，且作品應強調安全性與燈</w:t>
      </w:r>
      <w:r w:rsidR="00E57EA4" w:rsidRPr="00A65B20">
        <w:rPr>
          <w:rFonts w:ascii="標楷體" w:eastAsia="標楷體" w:hAnsi="標楷體" w:cs="Arial" w:hint="eastAsia"/>
          <w:color w:val="000000" w:themeColor="text1"/>
          <w:kern w:val="0"/>
          <w:sz w:val="28"/>
          <w:szCs w:val="28"/>
        </w:rPr>
        <w:t xml:space="preserve"> </w:t>
      </w:r>
      <w:r w:rsidRPr="00A65B20">
        <w:rPr>
          <w:rFonts w:ascii="標楷體" w:eastAsia="標楷體" w:hAnsi="標楷體" w:cs="Arial"/>
          <w:color w:val="000000" w:themeColor="text1"/>
          <w:kern w:val="0"/>
          <w:sz w:val="28"/>
          <w:szCs w:val="28"/>
        </w:rPr>
        <w:t>座亮度，並以平放式為限，不提供懸吊設施。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（三）材質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防水、牢固、不易破損為原則，作品宜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環保素材，即可回收、低污染、省資源之材料或廢棄物，以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節能減碳為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（四）供電方式係以臨時電或發電機供電，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採插電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發光式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交流電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110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伏特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（五）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作品均須由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內部發光，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每組件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耗電量以不超過「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700W(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」為原則，每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件總耗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電量以「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1500W(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瓦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」為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原則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（六）每件作品必須設置「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公尺"/>
        </w:smartTagPr>
        <w:r w:rsidRPr="00A65B20">
          <w:rPr>
            <w:rFonts w:ascii="標楷體" w:eastAsia="標楷體" w:hAnsi="標楷體" w:cs="新細明體"/>
            <w:bCs/>
            <w:color w:val="000000" w:themeColor="text1"/>
            <w:kern w:val="0"/>
            <w:sz w:val="28"/>
            <w:szCs w:val="20"/>
          </w:rPr>
          <w:t>2</w:t>
        </w: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公尺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以上延伸性插頭」(含插頭之電線)，以便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插電，如整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組花燈消耗電功率超過700W者，建請使用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15A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2.0m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如整組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花燈消耗電功率低於700W者，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建議使用</w:t>
      </w:r>
      <w:r w:rsidR="00E57EA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額定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規格125V，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"/>
          <w:attr w:name="UnitName" w:val="a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7A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之插頭及電源線（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75"/>
          <w:attr w:name="UnitName" w:val="m"/>
        </w:smartTagPr>
        <w:r w:rsidRPr="00A65B20">
          <w:rPr>
            <w:rFonts w:ascii="標楷體" w:eastAsia="標楷體" w:hAnsi="標楷體" w:cs="新細明體" w:hint="eastAsia"/>
            <w:bCs/>
            <w:color w:val="000000" w:themeColor="text1"/>
            <w:kern w:val="0"/>
            <w:sz w:val="28"/>
            <w:szCs w:val="20"/>
          </w:rPr>
          <w:t>0.75m</w:t>
        </w:r>
      </w:smartTag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m平方之絞線），以確保用電安全。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 xml:space="preserve"> </w:t>
      </w:r>
    </w:p>
    <w:p w:rsidR="000238A5" w:rsidRPr="00A65B20" w:rsidRDefault="000238A5" w:rsidP="000238A5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（七）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凡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採用乾電池、探照燈</w:t>
      </w:r>
      <w:r w:rsidR="00AF714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或蠟燭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為光源，或內部配線使用裸(銅)線而非絕緣導線者，或使用或以紙質、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易碎等不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耐潮材質製作之作品一律不予收件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展覽期間不提供遮雨設施。</w:t>
      </w:r>
    </w:p>
    <w:p w:rsidR="00A02B70" w:rsidRPr="00A65B20" w:rsidRDefault="000238A5" w:rsidP="005370DB">
      <w:pPr>
        <w:widowControl/>
        <w:snapToGrid w:val="0"/>
        <w:spacing w:before="180" w:after="180" w:line="240" w:lineRule="atLeast"/>
        <w:ind w:leftChars="100" w:left="1080" w:hangingChars="300" w:hanging="840"/>
        <w:jc w:val="both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(八)如須使用水管燈、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聖誕燈串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、網燈、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插接器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(配電用插頭及插座)及電源線(組)，建請使用有檢驗合格標識之產品，以確保品質及安全。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、報名方式：</w:t>
      </w:r>
    </w:p>
    <w:p w:rsidR="00C97E58" w:rsidRPr="00A65B20" w:rsidRDefault="00C97E58" w:rsidP="00EB6979">
      <w:pPr>
        <w:widowControl/>
        <w:adjustRightInd w:val="0"/>
        <w:snapToGrid w:val="0"/>
        <w:spacing w:line="240" w:lineRule="atLeast"/>
        <w:ind w:leftChars="234" w:left="562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為利展場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規劃，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採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「網路報名」，自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B413E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104年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五)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止至活動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網站報名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（</w:t>
      </w:r>
      <w:proofErr w:type="gramEnd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網址：</w:t>
      </w:r>
      <w:r w:rsidR="0091297F"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h</w:t>
      </w:r>
      <w:r w:rsidR="00264D5D" w:rsidRPr="0091297F">
        <w:rPr>
          <w:rFonts w:ascii="標楷體" w:eastAsia="標楷體" w:hAnsi="標楷體" w:cs="新細明體"/>
          <w:bCs/>
          <w:color w:val="000000" w:themeColor="text1"/>
          <w:kern w:val="0"/>
        </w:rPr>
        <w:t>ttp://www.boe.tyc.edu.tw/boe/main.php</w:t>
      </w:r>
      <w:proofErr w:type="gramStart"/>
      <w:r w:rsidRPr="0091297F">
        <w:rPr>
          <w:rFonts w:ascii="標楷體" w:eastAsia="標楷體" w:hAnsi="標楷體" w:cs="新細明體" w:hint="eastAsia"/>
          <w:bCs/>
          <w:color w:val="000000" w:themeColor="text1"/>
          <w:kern w:val="0"/>
        </w:rPr>
        <w:t>）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，輸入參賽作品相關資訊，並於</w:t>
      </w:r>
      <w:r w:rsidR="00A02B7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(</w:t>
      </w:r>
      <w:r w:rsidR="00AA1C5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週</w:t>
      </w:r>
      <w:r w:rsidR="004C195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51263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前上傳作品圖檔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成品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)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及設計理念</w:t>
      </w:r>
      <w:r w:rsidR="0091297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說明</w:t>
      </w:r>
      <w:r w:rsidR="001D6CE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書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，逾期或以其他方式報名者，概不受理。</w:t>
      </w:r>
    </w:p>
    <w:p w:rsidR="00C97E58" w:rsidRPr="00A65B20" w:rsidRDefault="00390040" w:rsidP="00DC6BC2">
      <w:pPr>
        <w:widowControl/>
        <w:snapToGrid w:val="0"/>
        <w:spacing w:beforeLines="50" w:before="180" w:after="180" w:line="240" w:lineRule="atLeast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、收件及評審日期：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（一）收件時間：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2D294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="005370D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9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時起至</w:t>
      </w:r>
      <w:r w:rsidR="00EE0FB5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105年</w:t>
      </w:r>
      <w:r w:rsidR="002F0BEB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日（週</w:t>
      </w:r>
      <w:r w:rsidR="007814E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一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時止，凡逾時送件或未預先報名者，不得參加競賽。</w:t>
      </w:r>
    </w:p>
    <w:p w:rsidR="00B63E2F" w:rsidRPr="00A65B20" w:rsidRDefault="004800B8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  <w:u w:val="single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</w:t>
      </w:r>
      <w:r w:rsidR="00C6117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(二)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收件地點：</w:t>
      </w:r>
      <w:r w:rsidR="005370DB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20</w:t>
      </w:r>
      <w:r w:rsidR="000876C2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6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台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灣燈會</w:t>
      </w:r>
      <w:r w:rsidR="00C73DAC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-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埔</w:t>
      </w:r>
      <w:proofErr w:type="gramEnd"/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</w:p>
    <w:p w:rsidR="00C97E58" w:rsidRPr="00A65B20" w:rsidRDefault="00B63E2F" w:rsidP="007D2919">
      <w:pPr>
        <w:widowControl/>
        <w:adjustRightInd w:val="0"/>
        <w:snapToGrid w:val="0"/>
        <w:spacing w:line="240" w:lineRule="atLeast"/>
        <w:ind w:leftChars="59" w:left="2522" w:hangingChars="850" w:hanging="2380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 xml:space="preserve">                </w:t>
      </w:r>
      <w:r w:rsidR="00C97E5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派員點收。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Chars="100" w:left="2480" w:hangingChars="800" w:hanging="2240"/>
        <w:jc w:val="both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lastRenderedPageBreak/>
        <w:t>（三）</w:t>
      </w:r>
      <w:r w:rsidR="00204FBD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置地點：詳細位置及相關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動線另案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公告於競賽網站，並於送件時由</w:t>
      </w:r>
      <w:r w:rsidR="007335E8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主辦單位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派員引導；</w:t>
      </w:r>
      <w:r w:rsidR="005B55CF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布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置所須之相關材料機具由參賽者自行準備。請注意花燈重量，以防意外事故發生。</w:t>
      </w:r>
    </w:p>
    <w:p w:rsidR="00C97E58" w:rsidRPr="00A65B20" w:rsidRDefault="00C97E58" w:rsidP="00C97E58">
      <w:pPr>
        <w:widowControl/>
        <w:snapToGrid w:val="0"/>
        <w:spacing w:before="180" w:after="180" w:line="240" w:lineRule="atLeast"/>
        <w:ind w:left="345"/>
        <w:textAlignment w:val="top"/>
        <w:rPr>
          <w:rFonts w:ascii="標楷體" w:eastAsia="標楷體" w:hAnsi="標楷體" w:cs="新細明體"/>
          <w:color w:val="000000" w:themeColor="text1"/>
          <w:kern w:val="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（四）評審日期：</w:t>
      </w:r>
      <w:r w:rsidR="000876C2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10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5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年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月</w:t>
      </w:r>
      <w:r w:rsidR="008662C3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7</w:t>
      </w:r>
      <w:r w:rsidR="007C483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日至105年2月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18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日。</w:t>
      </w:r>
    </w:p>
    <w:p w:rsidR="00C97E58" w:rsidRPr="00A65B20" w:rsidRDefault="00C97E58" w:rsidP="00323C18">
      <w:pPr>
        <w:widowControl/>
        <w:snapToGrid w:val="0"/>
        <w:spacing w:before="180" w:after="180" w:line="240" w:lineRule="atLeast"/>
        <w:ind w:leftChars="150" w:left="2600" w:hangingChars="800" w:hanging="2240"/>
        <w:textAlignment w:val="top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（五）注意事項：請作者親自送件，並於送件當場繳交成品照片紙本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以</w:t>
      </w:r>
      <w:r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t>A4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紙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張</w:t>
      </w:r>
      <w:r w:rsidR="00EB6979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直式</w:t>
      </w:r>
      <w:proofErr w:type="gramEnd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列印</w:t>
      </w:r>
      <w:proofErr w:type="gramStart"/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）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並請相關單位惠予公假</w:t>
      </w:r>
      <w:r w:rsidR="00A13E71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登記</w:t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，主辦單位</w:t>
      </w:r>
      <w:proofErr w:type="gramStart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不</w:t>
      </w:r>
      <w:proofErr w:type="gramEnd"/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另</w:t>
      </w:r>
      <w:r w:rsidR="00323C18" w:rsidRPr="00A65B20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0"/>
        </w:rPr>
        <w:br/>
      </w:r>
      <w:r w:rsidR="00716254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發文</w:t>
      </w:r>
      <w:r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</w:t>
      </w:r>
      <w:r w:rsidR="004A36A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、評審標準：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</w:rPr>
        <w:t>整體效果、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造型、色彩、創意、燈光及技巧等項目。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十三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、評審委員：由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主辦單位籌組評審委員會並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聘請專家學者擔任</w:t>
      </w:r>
      <w:r w:rsidR="00716254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委員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4A36A3" w:rsidP="00DC6BC2">
      <w:pPr>
        <w:widowControl/>
        <w:snapToGrid w:val="0"/>
        <w:spacing w:beforeLines="50" w:before="180" w:after="18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十四</w:t>
      </w:r>
      <w:r w:rsidR="00C97E5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、獎勵：</w:t>
      </w:r>
    </w:p>
    <w:p w:rsidR="00C97E58" w:rsidRPr="00A65B20" w:rsidRDefault="00C97E58" w:rsidP="00D26BFE">
      <w:pPr>
        <w:widowControl/>
        <w:numPr>
          <w:ilvl w:val="0"/>
          <w:numId w:val="1"/>
        </w:numPr>
        <w:snapToGrid w:val="0"/>
        <w:spacing w:before="50" w:after="180" w:line="240" w:lineRule="atLeast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各組錄取特優、優等、甲等及佳作，其錄取名額及評分標準如下：</w:t>
      </w:r>
    </w:p>
    <w:p w:rsidR="00C97E58" w:rsidRPr="00A65B20" w:rsidRDefault="00C97E58" w:rsidP="00FE703E">
      <w:pPr>
        <w:widowControl/>
        <w:numPr>
          <w:ilvl w:val="0"/>
          <w:numId w:val="2"/>
        </w:numPr>
        <w:snapToGrid w:val="0"/>
        <w:spacing w:before="50" w:line="240" w:lineRule="atLeast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特優：至多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，其中</w:t>
      </w:r>
      <w:proofErr w:type="gramStart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含燈王</w:t>
      </w:r>
      <w:proofErr w:type="gramEnd"/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1名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(由特優作品中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遴</w:t>
      </w:r>
      <w:proofErr w:type="gramEnd"/>
      <w:r w:rsidR="00323C1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323C18" w:rsidRPr="00A65B20"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  <w:br/>
        <w:t xml:space="preserve">      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選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名)</w:t>
      </w:r>
      <w:r w:rsidR="004800B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、優等：至多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20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90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5B55CF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、甲等：至多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30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85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5B55CF">
      <w:pPr>
        <w:widowControl/>
        <w:snapToGrid w:val="0"/>
        <w:spacing w:before="50" w:line="240" w:lineRule="atLeast"/>
        <w:ind w:leftChars="150" w:left="360" w:firstLineChars="200" w:firstLine="560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4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、佳作：至多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50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名。（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80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分以上）</w:t>
      </w:r>
    </w:p>
    <w:p w:rsidR="00C97E58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（二）各獎項錄取件數，依參賽件數比例由評審委員會決定之，每組合得獎總件數不得超過該組參賽總件數</w:t>
      </w:r>
      <w:r w:rsidR="0039004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二分之一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，未達評分標準者則從缺。</w:t>
      </w:r>
    </w:p>
    <w:p w:rsidR="00A65B20" w:rsidRPr="00A65B20" w:rsidRDefault="00C97E58" w:rsidP="00A65B2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（三）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燈王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」之作品，頒發獎金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元及獎狀，高中職以下各組指導教師各記功</w:t>
      </w:r>
      <w:r w:rsidR="00585123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2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次。另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為鼓勵桃園市民參賽，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桃園市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機關團體或戶籍地為桃園市之市民之</w:t>
      </w:r>
      <w:proofErr w:type="gramStart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作品獲燈王者</w:t>
      </w:r>
      <w:proofErr w:type="gramEnd"/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，另加</w:t>
      </w:r>
      <w:r w:rsidR="009D066A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發</w:t>
      </w:r>
      <w:r w:rsid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5萬元獎金。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（四）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獲「特優」之作品，頒發獎金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</w:t>
      </w:r>
      <w:r w:rsidR="00061265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萬</w:t>
      </w:r>
      <w:r w:rsidR="003324A0" w:rsidRPr="00A65B20">
        <w:rPr>
          <w:rFonts w:ascii="標楷體" w:eastAsia="標楷體" w:hAnsi="標楷體" w:hint="eastAsia"/>
          <w:bCs/>
          <w:color w:val="000000" w:themeColor="text1"/>
          <w:kern w:val="0"/>
          <w:sz w:val="28"/>
          <w:szCs w:val="20"/>
        </w:rPr>
        <w:t>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記功壹次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（五）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獲「優等」之作品，頒發獎金8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嘉獎貳次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3324A0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（六）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獲「甲等」之作品，頒發獎金5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,000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</w:t>
      </w:r>
      <w:proofErr w:type="gramStart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嘉獎壹次</w:t>
      </w:r>
      <w:proofErr w:type="gramEnd"/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97E58" w:rsidRPr="00A65B20" w:rsidRDefault="000876C2" w:rsidP="00C97E58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color w:val="000000" w:themeColor="text1"/>
          <w:kern w:val="0"/>
          <w:sz w:val="20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（七）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獲「佳作」之作品，頒發獎金</w:t>
      </w:r>
      <w:r w:rsidR="003324A0"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1,500</w:t>
      </w:r>
      <w:r w:rsidR="003324A0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元及獎狀，高中職以下各組指導教師各頒發獎狀。</w:t>
      </w:r>
    </w:p>
    <w:p w:rsidR="00C97E58" w:rsidRPr="00A65B20" w:rsidRDefault="00C97E58" w:rsidP="003324A0">
      <w:pPr>
        <w:widowControl/>
        <w:snapToGrid w:val="0"/>
        <w:spacing w:before="50" w:line="240" w:lineRule="atLeast"/>
        <w:ind w:leftChars="117" w:left="1121" w:hangingChars="300" w:hanging="84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（八）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頒獎典禮暫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定於105年3月5日(星期六)</w:t>
      </w:r>
      <w:r w:rsidR="00CA2D07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辦理，地點另行公告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。</w:t>
      </w:r>
    </w:p>
    <w:p w:rsidR="00CD11F1" w:rsidRPr="00A65B20" w:rsidRDefault="000876C2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（九）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本市所屬學校指導教師之敘獎由各校</w:t>
      </w:r>
      <w:proofErr w:type="gramStart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逕</w:t>
      </w:r>
      <w:proofErr w:type="gramEnd"/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依公立高級中學以下學校教師成績 </w:t>
      </w:r>
    </w:p>
    <w:p w:rsidR="001937A8" w:rsidRPr="00A65B20" w:rsidRDefault="00CD11F1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</w:t>
      </w:r>
      <w:r w:rsidR="001937A8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考核辦法權責發布；外縣市指導教師，由主辦單位函請各所屬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(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縣</w:t>
      </w:r>
      <w:r w:rsidRPr="00A65B20">
        <w:rPr>
          <w:rFonts w:ascii="標楷體" w:eastAsia="標楷體" w:hAnsi="標楷體"/>
          <w:bCs/>
          <w:color w:val="000000" w:themeColor="text1"/>
          <w:kern w:val="0"/>
          <w:sz w:val="28"/>
          <w:szCs w:val="20"/>
        </w:rPr>
        <w:t>)</w:t>
      </w: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市政府</w:t>
      </w:r>
    </w:p>
    <w:p w:rsidR="000876C2" w:rsidRDefault="001937A8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  <w:r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 xml:space="preserve">      </w:t>
      </w:r>
      <w:r w:rsidR="00CD11F1" w:rsidRPr="00A65B20">
        <w:rPr>
          <w:rFonts w:ascii="標楷體" w:eastAsia="標楷體" w:hAnsi="標楷體" w:cs="Arial" w:hint="eastAsia"/>
          <w:bCs/>
          <w:color w:val="000000" w:themeColor="text1"/>
          <w:kern w:val="0"/>
          <w:sz w:val="28"/>
          <w:szCs w:val="20"/>
        </w:rPr>
        <w:t>依相關規定予以獎勵。</w:t>
      </w:r>
    </w:p>
    <w:p w:rsidR="00994F04" w:rsidRPr="00A65B20" w:rsidRDefault="00994F04" w:rsidP="007D2919">
      <w:pPr>
        <w:widowControl/>
        <w:snapToGrid w:val="0"/>
        <w:spacing w:before="50" w:line="240" w:lineRule="atLeast"/>
        <w:ind w:leftChars="117" w:left="841" w:hangingChars="200" w:hanging="560"/>
        <w:jc w:val="both"/>
        <w:textAlignment w:val="top"/>
        <w:rPr>
          <w:rFonts w:ascii="標楷體" w:eastAsia="標楷體" w:hAnsi="標楷體" w:cs="Arial"/>
          <w:bCs/>
          <w:color w:val="000000" w:themeColor="text1"/>
          <w:kern w:val="0"/>
          <w:sz w:val="28"/>
          <w:szCs w:val="20"/>
        </w:rPr>
      </w:pPr>
    </w:p>
    <w:p w:rsidR="00A461CC" w:rsidRPr="00A65B20" w:rsidRDefault="00A461CC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lastRenderedPageBreak/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、展覽日期與地點：</w:t>
      </w:r>
    </w:p>
    <w:p w:rsidR="002F2CA5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（一）展覽日期：10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22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）點燈起至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6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日（週日）止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共14</w:t>
      </w:r>
    </w:p>
    <w:p w:rsidR="00A461CC" w:rsidRPr="00A65B20" w:rsidRDefault="002F2CA5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 xml:space="preserve">                天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firstLineChars="100" w:firstLine="28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（二）展覽地點：</w:t>
      </w:r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桃園市青</w:t>
      </w:r>
      <w:proofErr w:type="gramStart"/>
      <w:r w:rsidR="009210E0" w:rsidRPr="00A65B20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</w:rPr>
        <w:t>埔</w:t>
      </w:r>
      <w:proofErr w:type="gramEnd"/>
      <w:r w:rsidR="009210E0" w:rsidRPr="00A65B20">
        <w:rPr>
          <w:rFonts w:ascii="標楷體" w:eastAsia="標楷體" w:hAnsi="標楷體" w:hint="eastAsia"/>
          <w:bCs/>
          <w:color w:val="000000" w:themeColor="text1"/>
          <w:sz w:val="28"/>
        </w:rPr>
        <w:t>高鐵站競賽花燈展覽區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390040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六</w:t>
      </w:r>
      <w:r w:rsidR="00A461CC" w:rsidRPr="00A65B20">
        <w:rPr>
          <w:rFonts w:ascii="標楷體" w:eastAsia="標楷體" w:hAnsi="標楷體"/>
          <w:bCs/>
          <w:color w:val="000000" w:themeColor="text1"/>
          <w:sz w:val="28"/>
        </w:rPr>
        <w:t>、作品領回：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（一）領回方式：請各校派員或由作者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持領件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憑證（收件時發放）親至展覽場地自行拆除及運回。</w:t>
      </w:r>
    </w:p>
    <w:p w:rsidR="00A461CC" w:rsidRPr="00A65B20" w:rsidRDefault="00A461CC" w:rsidP="00A461CC">
      <w:pPr>
        <w:pStyle w:val="a5"/>
        <w:spacing w:before="50" w:line="400" w:lineRule="exact"/>
        <w:ind w:left="2240" w:hangingChars="800" w:hanging="22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（二）領回時間：10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Pr="00A65B20">
        <w:rPr>
          <w:rFonts w:ascii="標楷體" w:eastAsia="標楷體" w:hAnsi="標楷體" w:hint="eastAsia"/>
          <w:bCs/>
          <w:color w:val="000000" w:themeColor="text1"/>
          <w:sz w:val="28"/>
        </w:rPr>
        <w:t>3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7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</w:t>
      </w:r>
      <w:r w:rsidR="007814E4" w:rsidRPr="00A65B20">
        <w:rPr>
          <w:rFonts w:ascii="標楷體" w:eastAsia="標楷體" w:hAnsi="標楷體"/>
          <w:bCs/>
          <w:color w:val="000000" w:themeColor="text1"/>
          <w:sz w:val="28"/>
        </w:rPr>
        <w:t>（週一）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9時至15時止，逾時未領回者，由</w:t>
      </w:r>
      <w:r w:rsidR="00C73DAC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全權處理，不得異議</w:t>
      </w:r>
      <w:r w:rsidR="00390040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不負保管責任。</w:t>
      </w:r>
    </w:p>
    <w:p w:rsidR="00A461CC" w:rsidRPr="00A65B20" w:rsidRDefault="00A461CC" w:rsidP="00A461CC">
      <w:pPr>
        <w:pStyle w:val="a5"/>
        <w:spacing w:before="240" w:line="400" w:lineRule="exact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7C62EF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、作者及指導教師注意事項：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（一）曾參賽作品或其修正部分不得參加比賽，違者不予評分；若已得獎者，取消得獎資格，追回獎金及獎狀。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（二）參賽作品不得超過規定規格，否則評審酌予扣分，破損者或品質不佳者不參與展示，作者不得異議。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（三）報名表內容需更改，或無法送件者，須於10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5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年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1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月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8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日(</w:t>
      </w:r>
      <w:r w:rsidR="007D2919" w:rsidRPr="00A65B20">
        <w:rPr>
          <w:rFonts w:ascii="標楷體" w:eastAsia="標楷體" w:hAnsi="標楷體"/>
          <w:bCs/>
          <w:color w:val="000000" w:themeColor="text1"/>
          <w:sz w:val="28"/>
        </w:rPr>
        <w:t>週</w:t>
      </w:r>
      <w:r w:rsidR="002F2CA5" w:rsidRPr="00A65B20">
        <w:rPr>
          <w:rFonts w:ascii="標楷體" w:eastAsia="標楷體" w:hAnsi="標楷體" w:hint="eastAsia"/>
          <w:bCs/>
          <w:color w:val="000000" w:themeColor="text1"/>
          <w:sz w:val="28"/>
        </w:rPr>
        <w:t>五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)前，以正式公文向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提出，逾時則不得更改，敘獎以報名清冊內容為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準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（四）參賽作品於收件至領回（含競賽展出）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期間，</w:t>
      </w:r>
      <w:proofErr w:type="gramEnd"/>
      <w:r w:rsidR="0091297F">
        <w:rPr>
          <w:rFonts w:ascii="標楷體" w:eastAsia="標楷體" w:hAnsi="標楷體"/>
          <w:bCs/>
          <w:color w:val="000000" w:themeColor="text1"/>
          <w:sz w:val="28"/>
        </w:rPr>
        <w:t>因不可抗拒之情事而損壞者，主辦及承辦單</w:t>
      </w:r>
      <w:r w:rsidR="0091297F">
        <w:rPr>
          <w:rFonts w:ascii="標楷體" w:eastAsia="標楷體" w:hAnsi="標楷體" w:hint="eastAsia"/>
          <w:bCs/>
          <w:color w:val="000000" w:themeColor="text1"/>
          <w:sz w:val="28"/>
        </w:rPr>
        <w:t>位將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通知作者修復，如未修復，主(承)辦單位得逕行派員修復或有權決定不予展出，且不負任何賠償之責任。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（五）每件參賽作品須黏貼標籤，由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統一製作，於送件時領取填寫並自行黏貼。</w:t>
      </w:r>
    </w:p>
    <w:p w:rsidR="00A461CC" w:rsidRPr="00A65B20" w:rsidRDefault="00A461CC" w:rsidP="00A461CC">
      <w:pPr>
        <w:pStyle w:val="a5"/>
        <w:spacing w:before="50" w:line="400" w:lineRule="exact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（六）</w:t>
      </w:r>
      <w:proofErr w:type="gramStart"/>
      <w:r w:rsidRPr="00A65B20">
        <w:rPr>
          <w:rFonts w:ascii="標楷體" w:eastAsia="標楷體" w:hAnsi="標楷體"/>
          <w:bCs/>
          <w:color w:val="000000" w:themeColor="text1"/>
          <w:sz w:val="28"/>
        </w:rPr>
        <w:t>請慎選</w:t>
      </w:r>
      <w:proofErr w:type="gramEnd"/>
      <w:r w:rsidRPr="00A65B20">
        <w:rPr>
          <w:rFonts w:ascii="標楷體" w:eastAsia="標楷體" w:hAnsi="標楷體"/>
          <w:bCs/>
          <w:color w:val="000000" w:themeColor="text1"/>
          <w:sz w:val="28"/>
        </w:rPr>
        <w:t>通電材料，以防意外事故發生。</w:t>
      </w:r>
    </w:p>
    <w:p w:rsidR="00A461CC" w:rsidRPr="00A65B20" w:rsidRDefault="00A461CC" w:rsidP="00A461CC">
      <w:pPr>
        <w:pStyle w:val="a5"/>
        <w:spacing w:before="5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（七）各組獲獎獎金，依規定應扣繳所得稅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；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核銷方式由</w:t>
      </w:r>
      <w:r w:rsidR="007335E8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依規定代繳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(扣)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A461CC" w:rsidRPr="00A65B20" w:rsidRDefault="00A461CC" w:rsidP="004F31E7">
      <w:pPr>
        <w:pStyle w:val="a5"/>
        <w:spacing w:before="50" w:line="400" w:lineRule="exact"/>
        <w:ind w:left="899" w:hangingChars="321" w:hanging="899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（八）所有參賽作品，主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(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)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辦單位有權攝影、發行專輯及光碟，參賽者不得異議。</w:t>
      </w:r>
    </w:p>
    <w:p w:rsidR="00A461CC" w:rsidRPr="00A65B20" w:rsidRDefault="00A461CC" w:rsidP="00A461CC">
      <w:pPr>
        <w:pStyle w:val="a5"/>
        <w:spacing w:line="40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4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（九）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所為參賽作品需自行留意相關法令，避免侵害他人著作權及商標權。</w:t>
      </w:r>
    </w:p>
    <w:p w:rsidR="00A461CC" w:rsidRPr="00A65B20" w:rsidRDefault="00A461CC" w:rsidP="00DC6BC2">
      <w:pPr>
        <w:pStyle w:val="a5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bCs/>
          <w:color w:val="000000" w:themeColor="text1"/>
          <w:sz w:val="28"/>
        </w:rPr>
      </w:pPr>
      <w:r w:rsidRPr="00A65B20">
        <w:rPr>
          <w:rFonts w:ascii="標楷體" w:eastAsia="標楷體" w:hAnsi="標楷體"/>
          <w:bCs/>
          <w:color w:val="000000" w:themeColor="text1"/>
          <w:sz w:val="28"/>
        </w:rPr>
        <w:t>十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七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、本項活動工作人員（</w:t>
      </w:r>
      <w:r w:rsidR="00E57EA4" w:rsidRPr="00A65B20">
        <w:rPr>
          <w:rFonts w:ascii="標楷體" w:eastAsia="標楷體" w:hAnsi="標楷體" w:hint="eastAsia"/>
          <w:bCs/>
          <w:color w:val="000000" w:themeColor="text1"/>
          <w:sz w:val="28"/>
        </w:rPr>
        <w:t>主辦單位</w:t>
      </w:r>
      <w:r w:rsidRPr="00A65B20">
        <w:rPr>
          <w:rFonts w:ascii="標楷體" w:eastAsia="標楷體" w:hAnsi="標楷體"/>
          <w:bCs/>
          <w:color w:val="000000" w:themeColor="text1"/>
          <w:sz w:val="28"/>
          <w:szCs w:val="24"/>
        </w:rPr>
        <w:t>及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承辦學校有功人員）於活動後，</w:t>
      </w:r>
      <w:r w:rsidR="00904207" w:rsidRPr="00904207">
        <w:rPr>
          <w:rFonts w:ascii="標楷體" w:eastAsia="標楷體" w:hAnsi="標楷體" w:hint="eastAsia"/>
          <w:bCs/>
          <w:color w:val="000000" w:themeColor="text1"/>
          <w:sz w:val="28"/>
        </w:rPr>
        <w:t>依據「桃園縣立各級學校教職員獎懲要點」辦理敘獎</w:t>
      </w:r>
      <w:r w:rsidRPr="00A65B20">
        <w:rPr>
          <w:rFonts w:ascii="標楷體" w:eastAsia="標楷體" w:hAnsi="標楷體"/>
          <w:bCs/>
          <w:color w:val="000000" w:themeColor="text1"/>
          <w:sz w:val="28"/>
        </w:rPr>
        <w:t>。</w:t>
      </w:r>
    </w:p>
    <w:p w:rsidR="00C97E58" w:rsidRPr="00684B1F" w:rsidRDefault="00C97E58" w:rsidP="00C97E58">
      <w:pPr>
        <w:snapToGrid w:val="0"/>
        <w:spacing w:line="240" w:lineRule="atLeast"/>
        <w:rPr>
          <w:color w:val="000000"/>
        </w:rPr>
      </w:pPr>
    </w:p>
    <w:sectPr w:rsidR="00C97E58" w:rsidRPr="00684B1F" w:rsidSect="00C97E58">
      <w:pgSz w:w="11906" w:h="16838"/>
      <w:pgMar w:top="719" w:right="1106" w:bottom="14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E3" w:rsidRDefault="004914E3" w:rsidP="00C74600">
      <w:r>
        <w:separator/>
      </w:r>
    </w:p>
  </w:endnote>
  <w:endnote w:type="continuationSeparator" w:id="0">
    <w:p w:rsidR="004914E3" w:rsidRDefault="004914E3" w:rsidP="00C74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E3" w:rsidRDefault="004914E3" w:rsidP="00C74600">
      <w:r>
        <w:separator/>
      </w:r>
    </w:p>
  </w:footnote>
  <w:footnote w:type="continuationSeparator" w:id="0">
    <w:p w:rsidR="004914E3" w:rsidRDefault="004914E3" w:rsidP="00C74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67D42"/>
    <w:multiLevelType w:val="hybridMultilevel"/>
    <w:tmpl w:val="55E6BA08"/>
    <w:lvl w:ilvl="0" w:tplc="CF2A2720">
      <w:start w:val="1"/>
      <w:numFmt w:val="taiwaneseCountingThousand"/>
      <w:lvlText w:val="（%1）"/>
      <w:lvlJc w:val="left"/>
      <w:pPr>
        <w:ind w:left="11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D004D2E"/>
    <w:multiLevelType w:val="hybridMultilevel"/>
    <w:tmpl w:val="4D60DF22"/>
    <w:lvl w:ilvl="0" w:tplc="A6A205C2">
      <w:start w:val="1"/>
      <w:numFmt w:val="decimal"/>
      <w:lvlText w:val="%1、"/>
      <w:lvlJc w:val="left"/>
      <w:pPr>
        <w:ind w:left="1370" w:hanging="450"/>
      </w:pPr>
      <w:rPr>
        <w:rFonts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0" w:hanging="480"/>
      </w:pPr>
    </w:lvl>
    <w:lvl w:ilvl="2" w:tplc="0409001B" w:tentative="1">
      <w:start w:val="1"/>
      <w:numFmt w:val="lowerRoman"/>
      <w:lvlText w:val="%3."/>
      <w:lvlJc w:val="right"/>
      <w:pPr>
        <w:ind w:left="2360" w:hanging="480"/>
      </w:pPr>
    </w:lvl>
    <w:lvl w:ilvl="3" w:tplc="0409000F" w:tentative="1">
      <w:start w:val="1"/>
      <w:numFmt w:val="decimal"/>
      <w:lvlText w:val="%4."/>
      <w:lvlJc w:val="left"/>
      <w:pPr>
        <w:ind w:left="2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0" w:hanging="480"/>
      </w:pPr>
    </w:lvl>
    <w:lvl w:ilvl="5" w:tplc="0409001B" w:tentative="1">
      <w:start w:val="1"/>
      <w:numFmt w:val="lowerRoman"/>
      <w:lvlText w:val="%6."/>
      <w:lvlJc w:val="right"/>
      <w:pPr>
        <w:ind w:left="3800" w:hanging="480"/>
      </w:pPr>
    </w:lvl>
    <w:lvl w:ilvl="6" w:tplc="0409000F" w:tentative="1">
      <w:start w:val="1"/>
      <w:numFmt w:val="decimal"/>
      <w:lvlText w:val="%7."/>
      <w:lvlJc w:val="left"/>
      <w:pPr>
        <w:ind w:left="4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0" w:hanging="480"/>
      </w:pPr>
    </w:lvl>
    <w:lvl w:ilvl="8" w:tplc="0409001B" w:tentative="1">
      <w:start w:val="1"/>
      <w:numFmt w:val="lowerRoman"/>
      <w:lvlText w:val="%9."/>
      <w:lvlJc w:val="right"/>
      <w:pPr>
        <w:ind w:left="52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E58"/>
    <w:rsid w:val="000238A5"/>
    <w:rsid w:val="00043B61"/>
    <w:rsid w:val="00043C26"/>
    <w:rsid w:val="00044A0E"/>
    <w:rsid w:val="00052369"/>
    <w:rsid w:val="00053AF7"/>
    <w:rsid w:val="00061265"/>
    <w:rsid w:val="00080D26"/>
    <w:rsid w:val="000876C2"/>
    <w:rsid w:val="00091F69"/>
    <w:rsid w:val="0009388B"/>
    <w:rsid w:val="000B1676"/>
    <w:rsid w:val="000C0A66"/>
    <w:rsid w:val="000D2615"/>
    <w:rsid w:val="000E0AC5"/>
    <w:rsid w:val="0010186D"/>
    <w:rsid w:val="001271EF"/>
    <w:rsid w:val="00160F59"/>
    <w:rsid w:val="00162E47"/>
    <w:rsid w:val="00183C79"/>
    <w:rsid w:val="00184148"/>
    <w:rsid w:val="001872E8"/>
    <w:rsid w:val="001937A8"/>
    <w:rsid w:val="001A4D52"/>
    <w:rsid w:val="001A5B40"/>
    <w:rsid w:val="001D6CE5"/>
    <w:rsid w:val="00204FBD"/>
    <w:rsid w:val="00205E02"/>
    <w:rsid w:val="00227865"/>
    <w:rsid w:val="002429FD"/>
    <w:rsid w:val="00256673"/>
    <w:rsid w:val="00260EA3"/>
    <w:rsid w:val="00264D5D"/>
    <w:rsid w:val="00266149"/>
    <w:rsid w:val="00282B69"/>
    <w:rsid w:val="002933D5"/>
    <w:rsid w:val="002D2944"/>
    <w:rsid w:val="002D6F61"/>
    <w:rsid w:val="002E2BFD"/>
    <w:rsid w:val="002E3268"/>
    <w:rsid w:val="002F0BEB"/>
    <w:rsid w:val="002F2CA5"/>
    <w:rsid w:val="00312D6B"/>
    <w:rsid w:val="00314B3D"/>
    <w:rsid w:val="00315292"/>
    <w:rsid w:val="00323C18"/>
    <w:rsid w:val="003324A0"/>
    <w:rsid w:val="00345FE4"/>
    <w:rsid w:val="00357277"/>
    <w:rsid w:val="00380E54"/>
    <w:rsid w:val="00390040"/>
    <w:rsid w:val="00406932"/>
    <w:rsid w:val="00470930"/>
    <w:rsid w:val="00477059"/>
    <w:rsid w:val="004800B8"/>
    <w:rsid w:val="004914E3"/>
    <w:rsid w:val="004954EE"/>
    <w:rsid w:val="004A36A3"/>
    <w:rsid w:val="004C195B"/>
    <w:rsid w:val="004D0367"/>
    <w:rsid w:val="004D5555"/>
    <w:rsid w:val="004F31E7"/>
    <w:rsid w:val="00512631"/>
    <w:rsid w:val="005370DB"/>
    <w:rsid w:val="00545E12"/>
    <w:rsid w:val="00557943"/>
    <w:rsid w:val="00575A07"/>
    <w:rsid w:val="0058214F"/>
    <w:rsid w:val="00585123"/>
    <w:rsid w:val="005B55CF"/>
    <w:rsid w:val="005D0036"/>
    <w:rsid w:val="005D04C2"/>
    <w:rsid w:val="005D2104"/>
    <w:rsid w:val="00606F04"/>
    <w:rsid w:val="00625FA0"/>
    <w:rsid w:val="00634423"/>
    <w:rsid w:val="006426EB"/>
    <w:rsid w:val="00684B1F"/>
    <w:rsid w:val="00695491"/>
    <w:rsid w:val="006D6FA4"/>
    <w:rsid w:val="006E008A"/>
    <w:rsid w:val="00711AB4"/>
    <w:rsid w:val="00712B8C"/>
    <w:rsid w:val="00716254"/>
    <w:rsid w:val="007335E8"/>
    <w:rsid w:val="00754968"/>
    <w:rsid w:val="0077745C"/>
    <w:rsid w:val="007808C6"/>
    <w:rsid w:val="007814E4"/>
    <w:rsid w:val="007A3DEE"/>
    <w:rsid w:val="007C22E5"/>
    <w:rsid w:val="007C4839"/>
    <w:rsid w:val="007C62EF"/>
    <w:rsid w:val="007D2919"/>
    <w:rsid w:val="007D6609"/>
    <w:rsid w:val="007E51A2"/>
    <w:rsid w:val="007F5423"/>
    <w:rsid w:val="0080187E"/>
    <w:rsid w:val="00821AA1"/>
    <w:rsid w:val="00821AE8"/>
    <w:rsid w:val="00844549"/>
    <w:rsid w:val="008476FD"/>
    <w:rsid w:val="008662C3"/>
    <w:rsid w:val="008A4953"/>
    <w:rsid w:val="008B0F1B"/>
    <w:rsid w:val="008B239A"/>
    <w:rsid w:val="008B5B59"/>
    <w:rsid w:val="008D4F25"/>
    <w:rsid w:val="008D70E8"/>
    <w:rsid w:val="0090178D"/>
    <w:rsid w:val="00904207"/>
    <w:rsid w:val="0091297F"/>
    <w:rsid w:val="009210E0"/>
    <w:rsid w:val="009940E1"/>
    <w:rsid w:val="00994F04"/>
    <w:rsid w:val="009A052F"/>
    <w:rsid w:val="009A296E"/>
    <w:rsid w:val="009B2C66"/>
    <w:rsid w:val="009C1BDC"/>
    <w:rsid w:val="009D066A"/>
    <w:rsid w:val="009F3217"/>
    <w:rsid w:val="009F5DA0"/>
    <w:rsid w:val="00A02B70"/>
    <w:rsid w:val="00A13E71"/>
    <w:rsid w:val="00A21D7D"/>
    <w:rsid w:val="00A32CA0"/>
    <w:rsid w:val="00A461CC"/>
    <w:rsid w:val="00A65B20"/>
    <w:rsid w:val="00A74DA4"/>
    <w:rsid w:val="00A95E06"/>
    <w:rsid w:val="00AA1C55"/>
    <w:rsid w:val="00AA52DC"/>
    <w:rsid w:val="00AC5481"/>
    <w:rsid w:val="00AD29F3"/>
    <w:rsid w:val="00AD787C"/>
    <w:rsid w:val="00AE52D1"/>
    <w:rsid w:val="00AF7149"/>
    <w:rsid w:val="00B21483"/>
    <w:rsid w:val="00B4124D"/>
    <w:rsid w:val="00B413E1"/>
    <w:rsid w:val="00B52909"/>
    <w:rsid w:val="00B56AA6"/>
    <w:rsid w:val="00B63E2F"/>
    <w:rsid w:val="00B764E8"/>
    <w:rsid w:val="00B90A34"/>
    <w:rsid w:val="00B93570"/>
    <w:rsid w:val="00BC73C4"/>
    <w:rsid w:val="00BD2DE5"/>
    <w:rsid w:val="00BD6F99"/>
    <w:rsid w:val="00BF3D65"/>
    <w:rsid w:val="00C000CA"/>
    <w:rsid w:val="00C243CA"/>
    <w:rsid w:val="00C4215D"/>
    <w:rsid w:val="00C50334"/>
    <w:rsid w:val="00C6117C"/>
    <w:rsid w:val="00C73DAC"/>
    <w:rsid w:val="00C74600"/>
    <w:rsid w:val="00C84AEB"/>
    <w:rsid w:val="00C92A4B"/>
    <w:rsid w:val="00C97E58"/>
    <w:rsid w:val="00CA2D07"/>
    <w:rsid w:val="00CC42F0"/>
    <w:rsid w:val="00CD11F1"/>
    <w:rsid w:val="00CF5A30"/>
    <w:rsid w:val="00D2501A"/>
    <w:rsid w:val="00D26BFE"/>
    <w:rsid w:val="00D34181"/>
    <w:rsid w:val="00D63975"/>
    <w:rsid w:val="00D64EFF"/>
    <w:rsid w:val="00D669C3"/>
    <w:rsid w:val="00DC6BC2"/>
    <w:rsid w:val="00DE182A"/>
    <w:rsid w:val="00DE2D79"/>
    <w:rsid w:val="00E27E90"/>
    <w:rsid w:val="00E57EA4"/>
    <w:rsid w:val="00E6132B"/>
    <w:rsid w:val="00E77866"/>
    <w:rsid w:val="00EA0E1F"/>
    <w:rsid w:val="00EB1559"/>
    <w:rsid w:val="00EB6979"/>
    <w:rsid w:val="00EE0FB5"/>
    <w:rsid w:val="00EE3E18"/>
    <w:rsid w:val="00EF3BCD"/>
    <w:rsid w:val="00EF72C6"/>
    <w:rsid w:val="00F31CAD"/>
    <w:rsid w:val="00F367C4"/>
    <w:rsid w:val="00F70949"/>
    <w:rsid w:val="00F74F5A"/>
    <w:rsid w:val="00F92FCB"/>
    <w:rsid w:val="00F93E6C"/>
    <w:rsid w:val="00FB1329"/>
    <w:rsid w:val="00FB21B8"/>
    <w:rsid w:val="00FB3AF1"/>
    <w:rsid w:val="00FB6D29"/>
    <w:rsid w:val="00FC44D8"/>
    <w:rsid w:val="00FC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C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alogtext1">
    <w:name w:val="dialogtext1"/>
    <w:basedOn w:val="a0"/>
    <w:rsid w:val="00C97E58"/>
  </w:style>
  <w:style w:type="character" w:styleId="a3">
    <w:name w:val="Strong"/>
    <w:qFormat/>
    <w:rsid w:val="00C97E58"/>
    <w:rPr>
      <w:b/>
      <w:bCs/>
    </w:rPr>
  </w:style>
  <w:style w:type="character" w:styleId="a4">
    <w:name w:val="Hyperlink"/>
    <w:rsid w:val="009940E1"/>
    <w:rPr>
      <w:color w:val="0000FF"/>
      <w:u w:val="single"/>
    </w:rPr>
  </w:style>
  <w:style w:type="paragraph" w:styleId="a5">
    <w:name w:val="Plain Text"/>
    <w:basedOn w:val="a"/>
    <w:rsid w:val="00A461CC"/>
    <w:rPr>
      <w:rFonts w:ascii="細明體" w:eastAsia="細明體" w:hAnsi="Courier New"/>
      <w:szCs w:val="20"/>
    </w:rPr>
  </w:style>
  <w:style w:type="paragraph" w:styleId="a6">
    <w:name w:val="header"/>
    <w:basedOn w:val="a"/>
    <w:link w:val="a7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C74600"/>
    <w:rPr>
      <w:kern w:val="2"/>
    </w:rPr>
  </w:style>
  <w:style w:type="paragraph" w:styleId="a8">
    <w:name w:val="footer"/>
    <w:basedOn w:val="a"/>
    <w:link w:val="a9"/>
    <w:rsid w:val="00C74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C74600"/>
    <w:rPr>
      <w:kern w:val="2"/>
    </w:rPr>
  </w:style>
  <w:style w:type="character" w:customStyle="1" w:styleId="dialogtext10">
    <w:name w:val="dialog_text1"/>
    <w:rsid w:val="00575A07"/>
    <w:rPr>
      <w:rFonts w:ascii="sөũ" w:hAnsi="sөũ" w:hint="default"/>
      <w:color w:val="000000"/>
      <w:sz w:val="22"/>
      <w:szCs w:val="22"/>
    </w:rPr>
  </w:style>
  <w:style w:type="paragraph" w:styleId="aa">
    <w:name w:val="Balloon Text"/>
    <w:basedOn w:val="a"/>
    <w:link w:val="ab"/>
    <w:rsid w:val="00160F59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60F59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annotation reference"/>
    <w:basedOn w:val="a0"/>
    <w:rsid w:val="00F74F5A"/>
    <w:rPr>
      <w:sz w:val="18"/>
      <w:szCs w:val="18"/>
    </w:rPr>
  </w:style>
  <w:style w:type="paragraph" w:styleId="ad">
    <w:name w:val="annotation text"/>
    <w:basedOn w:val="a"/>
    <w:link w:val="ae"/>
    <w:rsid w:val="00F74F5A"/>
  </w:style>
  <w:style w:type="character" w:customStyle="1" w:styleId="ae">
    <w:name w:val="註解文字 字元"/>
    <w:basedOn w:val="a0"/>
    <w:link w:val="ad"/>
    <w:rsid w:val="00F74F5A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F74F5A"/>
    <w:rPr>
      <w:b/>
      <w:bCs/>
    </w:rPr>
  </w:style>
  <w:style w:type="character" w:customStyle="1" w:styleId="af0">
    <w:name w:val="註解主旨 字元"/>
    <w:basedOn w:val="ae"/>
    <w:link w:val="af"/>
    <w:rsid w:val="00F74F5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0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032">
                  <w:marLeft w:val="0"/>
                  <w:marRight w:val="0"/>
                  <w:marTop w:val="7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36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424747">
                                                  <w:marLeft w:val="105"/>
                                                  <w:marRight w:val="105"/>
                                                  <w:marTop w:val="105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435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19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29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374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86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0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A9FE9F-1B0B-4BA4-B05D-C2C24F70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2013臺灣燈會－全國花燈競賽實施計畫</dc:title>
  <dc:creator>f401</dc:creator>
  <cp:lastModifiedBy>yun</cp:lastModifiedBy>
  <cp:revision>2</cp:revision>
  <cp:lastPrinted>2015-08-12T11:36:00Z</cp:lastPrinted>
  <dcterms:created xsi:type="dcterms:W3CDTF">2015-08-19T00:57:00Z</dcterms:created>
  <dcterms:modified xsi:type="dcterms:W3CDTF">2015-08-19T00:57:00Z</dcterms:modified>
</cp:coreProperties>
</file>